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96" w:rsidRDefault="000B6C96" w:rsidP="000B6C96">
      <w:pPr>
        <w:rPr>
          <w:b/>
        </w:rPr>
      </w:pPr>
      <w:r w:rsidRPr="000B6C96">
        <w:rPr>
          <w:b/>
        </w:rPr>
        <w:t xml:space="preserve"> </w:t>
      </w:r>
      <w:r w:rsidRPr="00FA651A">
        <w:rPr>
          <w:b/>
        </w:rPr>
        <w:t xml:space="preserve">Wymagania edukacyjne na poszczególne </w:t>
      </w:r>
      <w:r>
        <w:rPr>
          <w:b/>
        </w:rPr>
        <w:t>oceny dla  kl. 8 – Planeta Nowa</w:t>
      </w:r>
    </w:p>
    <w:p w:rsidR="003432BE" w:rsidRPr="00577D1D" w:rsidRDefault="003432BE" w:rsidP="00577D1D">
      <w:pPr>
        <w:spacing w:after="120"/>
        <w:rPr>
          <w:rFonts w:ascii="Arial" w:hAnsi="Arial" w:cs="Arial"/>
          <w:sz w:val="8"/>
          <w:szCs w:val="18"/>
        </w:rPr>
      </w:pP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8E4DF9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:rsidTr="006E7A61">
        <w:trPr>
          <w:trHeight w:val="3960"/>
        </w:trPr>
        <w:tc>
          <w:tcPr>
            <w:tcW w:w="3174" w:type="dxa"/>
            <w:shd w:val="clear" w:color="auto" w:fill="auto"/>
          </w:tcPr>
          <w:p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0B6C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</w:p>
          <w:p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</w:p>
          <w:p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9A3883">
              <w:rPr>
                <w:rFonts w:asciiTheme="minorHAnsi" w:eastAsia="Calibri" w:hAnsiTheme="minorHAnsi" w:cstheme="minorHAnsi"/>
                <w:sz w:val="18"/>
                <w:szCs w:val="18"/>
              </w:rPr>
              <w:t>przyrodniczego</w:t>
            </w:r>
            <w:r w:rsidR="000B6C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</w:t>
            </w:r>
            <w:r w:rsidR="00770F29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a</w:t>
            </w:r>
            <w:bookmarkStart w:id="0" w:name="_GoBack"/>
            <w:bookmarkEnd w:id="0"/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msy</w:t>
            </w:r>
          </w:p>
          <w:p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0B6C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</w:p>
        </w:tc>
        <w:tc>
          <w:tcPr>
            <w:tcW w:w="3174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0B6C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podstawie mapy gęstości zaludnienia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msów w Indiach</w:t>
            </w:r>
          </w:p>
          <w:p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B6C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tajfunówna obszarze Japonii</w:t>
            </w:r>
          </w:p>
          <w:p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wykresu 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przetwórstwo przemysłowe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Indii</w:t>
            </w:r>
          </w:p>
          <w:p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:rsidR="00CF4999" w:rsidRPr="00214512" w:rsidRDefault="00576419" w:rsidP="00F418D5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produkcji wyrobów z ropy naftowej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krajach Bliskiego Wschodu</w:t>
            </w:r>
          </w:p>
        </w:tc>
        <w:tc>
          <w:tcPr>
            <w:tcW w:w="3177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</w:p>
          <w:p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0B6C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:rsidTr="007A4F3D">
        <w:trPr>
          <w:trHeight w:val="5613"/>
        </w:trPr>
        <w:tc>
          <w:tcPr>
            <w:tcW w:w="3174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klimatogramów </w:t>
            </w:r>
          </w:p>
          <w:p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chowu</w:t>
            </w:r>
            <w:r w:rsidR="000B6C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0B6C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0B6C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B6C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0B6C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</w:p>
          <w:p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0B6C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nia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0B6C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 w:rsidR="000B6C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problemy ludności mieszkających w </w:t>
            </w:r>
            <w:r w:rsidR="000B6C96">
              <w:rPr>
                <w:rFonts w:asciiTheme="minorHAnsi" w:hAnsiTheme="minorHAnsi" w:cstheme="minorHAnsi"/>
                <w:sz w:val="18"/>
                <w:szCs w:val="18"/>
              </w:rPr>
              <w:t xml:space="preserve">slumsach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</w:p>
          <w:p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 w:rsidR="000B6C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0B6C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0B6C9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</w:p>
          <w:p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</w:p>
          <w:p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:rsidR="00F03D26" w:rsidRDefault="00782353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:rsidR="0035629C" w:rsidRDefault="0035629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:rsidR="00DA1DCE" w:rsidRPr="00BA15B5" w:rsidRDefault="00315D0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znaczenie </w:t>
            </w:r>
            <w:r w:rsidR="005F015E" w:rsidRPr="005F015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przetwórstwa przemysłowego i przemysłu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:rsidTr="002C5EF3"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="000B6C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AA2F29" w:rsidRPr="00DA1DCE" w:rsidRDefault="00AA2F29" w:rsidP="009A3883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zagrożenia środowiska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obszarów polarnych</w:t>
            </w:r>
          </w:p>
        </w:tc>
        <w:tc>
          <w:tcPr>
            <w:tcW w:w="3175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0B6C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</w:p>
          <w:p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298870" w16cid:durableId="249A7D6F"/>
  <w16cid:commentId w16cid:paraId="603F8714" w16cid:durableId="249A7D84"/>
  <w16cid:commentId w16cid:paraId="12B4AF15" w16cid:durableId="249A7DBF"/>
  <w16cid:commentId w16cid:paraId="19B3460A" w16cid:durableId="249A7DD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347" w:rsidRDefault="008F4347" w:rsidP="00F406B9">
      <w:r>
        <w:separator/>
      </w:r>
    </w:p>
  </w:endnote>
  <w:endnote w:type="continuationSeparator" w:id="1">
    <w:p w:rsidR="008F4347" w:rsidRDefault="008F4347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347" w:rsidRDefault="008F4347" w:rsidP="00F406B9">
      <w:r>
        <w:separator/>
      </w:r>
    </w:p>
  </w:footnote>
  <w:footnote w:type="continuationSeparator" w:id="1">
    <w:p w:rsidR="008F4347" w:rsidRDefault="008F4347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B6C96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4FE7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015E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0F29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347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3883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84070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77D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18D5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6E01-FABA-4C00-891F-AB00D6D8A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121355-EEF8-4315-8975-DBF35AFE9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26C24-E337-4FA4-AE43-5E97E5E85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D519DB-6291-4389-8878-68CB18C4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2617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Dell</cp:lastModifiedBy>
  <cp:revision>4</cp:revision>
  <cp:lastPrinted>2018-02-23T12:09:00Z</cp:lastPrinted>
  <dcterms:created xsi:type="dcterms:W3CDTF">2021-07-15T07:33:00Z</dcterms:created>
  <dcterms:modified xsi:type="dcterms:W3CDTF">2022-10-09T18:20:00Z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